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color w:val="000000"/>
          <w:rtl w:val="0"/>
        </w:rPr>
        <w:t xml:space="preserve">TEMATICKÝ, časový PLÁN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rtl w:val="0"/>
        </w:rPr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zrod nové středověké Evropy, ilustruje postavení vrstev středověké společnosti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Zr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od nové Evropy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pracuje s časovou přímkou 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charakterizuje život a výboje Vikingů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stručně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popíše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říši franskou a byzantskou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Vikingové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Franská říše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Byzantská říše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color w:val="000000"/>
                <w:rtl w:val="0"/>
              </w:rPr>
              <w:t xml:space="preserve"> – používá historické mapy a prameny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pracuje s odborným textem, zpracovává informace, vyhledává a využívá různé zdroje informací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K učení využívá i osobní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digitální zařízení; ukládá si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převzatý digitální obsah pro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další použití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Evropa ve svém vývoji, kořeny a zdroje evropské civilizace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barbarské kmeny, Normané a Varjagové, marka, feudum, leník, léno, feudál  monarcha, karolínská renesance, minuskula, cézaropapismus, despotický císař, ikona, reliéf, hedvábnictví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009, 004, 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objasní vliv a podstatu středověkého křesťanství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Křesťanství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 raně středověké Evropě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vhodné materiály, zpracovává informace, orientuje se v mapách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využívá různé zdroje informací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spolupracuje ve skupině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color w:val="000000"/>
                <w:rtl w:val="0"/>
              </w:rPr>
              <w:t xml:space="preserve">– netoleruje projevy agrese               a xenofobie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kulturní diference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kořeny a zdroje evropské civilizace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pohané – křest, trojí lid; duchovenstvo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univerzalizmus, odluka, rozkol; papež – katolická církev, patriarcha – pravoslavná církev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Alláh, Muhammad, korán, mešita, minaret, svatá válka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010, 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shrne informace o arabské říši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zpracuje přehled o životě Slovanů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shrne informace 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Sámov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ě  říši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Arabové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Slované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Sámova říše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samostatně zpracovává výpisky, připravuje otázky k dané kapitole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naplánuje si optimálně práci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kořeny a zdroje evropské civilizace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trojhonný systém, slovanský panteon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opevněná hradiště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zhodnotí význam Velké Moravy 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Velkomoravská říše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vyvozuje závěry z analýzy historických faktů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color w:val="000000"/>
                <w:rtl w:val="0"/>
              </w:rPr>
              <w:t xml:space="preserve"> –argumentuje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věrozvěstové, staroslověnština, hlaholice – cyrilice, arcibiskupství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hradiště, patron, svatováclavský kult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012, 026</w:t>
            </w:r>
          </w:p>
        </w:tc>
      </w:tr>
    </w:tbl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color w:val="000000"/>
          <w:rtl w:val="0"/>
        </w:rPr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-orientuje se v problematice prvních přemyslovských knížat a králů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zdokumentuje hlavní znaky a památky románského slohu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Křesťanství v Čechách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První přemyslovská knížata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První přemyslovští králové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Románský sloh v Čechách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vhodné materiály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color w:val="000000"/>
                <w:rtl w:val="0"/>
              </w:rPr>
              <w:t xml:space="preserve"> – učí se chápat souvislosti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vhodně prezentuje práci skupiny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stařešinové právo, kastelán, komoří, erb Přemyslovců, investitura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rotunda, bazilika; freska, mozaika; rukopisy; hrad, tvrz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vystihne hlavní znaky středověkých vesnic a měst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středověká městská práva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Vrcholný a pozdní středověk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Kolonizace, nová podoba vesnice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Města a jejich význam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color w:val="000000"/>
                <w:rtl w:val="0"/>
              </w:rPr>
              <w:t xml:space="preserve"> – objevuje a pojmenuje problém, učí se jej praktickými úlohami řešit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color w:val="000000"/>
                <w:rtl w:val="0"/>
              </w:rPr>
              <w:t xml:space="preserve">– zpracovává informace z odborného textu, vyvozuje závěry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kolonizace, trojpolní systém, obec, zeman, purkmistr, konšelé, městská rada, privilegia – městská práva, patriciát, cechy, mistr, tovaryš, učeň, horní, věnná, královská, poddanská města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vyjmenuje hlavní znaky gotického slohu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gotickou vzdělanost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Gotický sloh v Čechách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ovládá kooperativní učení, společně řeší úkoly, respektuje stanoviska druhých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– </w:t>
            </w:r>
            <w:r w:rsidDel="00000000" w:rsidR="00000000" w:rsidRPr="00000000">
              <w:rPr>
                <w:color w:val="000000"/>
                <w:rtl w:val="0"/>
              </w:rPr>
              <w:t xml:space="preserve">vyjadřuje svůj názor, přátelsky komunikuje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Využívá digitální technologie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 navrženém postupu, kterým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řeší vybrané problémy.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kořeny a zdroje evropské civilizace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chrám – dóm – katedrála, klášter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portál, rozeta, fiála, chrlič, madona, pieta, fakulty, Karlova univerzita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zaznamená hlavní okolnosti křížových výprav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Křížové výpravy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color w:val="000000"/>
                <w:rtl w:val="0"/>
              </w:rPr>
              <w:t xml:space="preserve">– pořizuje si výpisky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– </w:t>
            </w:r>
            <w:r w:rsidDel="00000000" w:rsidR="00000000" w:rsidRPr="00000000">
              <w:rPr>
                <w:color w:val="000000"/>
                <w:rtl w:val="0"/>
              </w:rPr>
              <w:t xml:space="preserve">vyhledává fakta, aplikuje své poznatky při řešení úkolu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vyjadřuje svůj názor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kořeny a zdroje evropské civilizace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templáři, řád německých rytířů, Svatá země, Jeruzalém, křižácké státy, papež Urban II, Palestina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vytvoří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přehled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„Poslední Přemyslovci“ a zaznamená klíčové informace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Český stát dědičným královstvím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vhodné materiály a histor. mapy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zvládá různé role v týmu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sděluje své poznatky, diskutuje</w:t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rytířská (dvorská) kultura, rod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vymřel po meči / přeslici, Zlatá bula sicilská, dědičný královský titul, bitva na Moravském poli, král železný a zlatý, sv. Anežka česká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014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color w:val="000000"/>
          <w:rtl w:val="0"/>
        </w:rPr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seřadí chronologicky panovníky z rodu Lucemburků, uvede jejich přínos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reformní hnutí v církvi a názory Jana Husa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Lucemburkové na českém trůnu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Reformní hnutí, mistr Jan Hus</w:t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zpracovává informace, vyvozuje závěry; poznává výtvory minulosti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color w:val="000000"/>
                <w:rtl w:val="0"/>
              </w:rPr>
              <w:t xml:space="preserve">– poznává a ochraňuje kulturní hodnoty; rozvíjí svůj zájem o veřejné záležitosti</w:t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klíčové mezníky evropské historie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korunovační klenoty, Karlova univerzita, Karlův most, země koruny české, reformní hnutí, kacíř, klatba-interdikt, církevní koncil, odpustky, defenestrace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002, 003, 005, 021</w:t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průběh husitských válek 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Husitské války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Porážka revoluce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dějepisné pojmy, zobecňuje poznatky a aplikuje je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pracuje s mapou a historickým atlasem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společně hledá řešení problémů</w:t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kališníci, táborité, sirotci, radikálové vozová hradba, spanilé jízdy, čtyři artikuly pražské, křížové výpravy, kompaktáta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020</w:t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sestaví přehled událostí provázejících vládu Jiřího z Poděbrad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uvede Jagellonce na českém trůnu a popíše jejich politiku</w:t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Český král Jiří z Poděbrad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Český stát za vlády Jagellonců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color w:val="000000"/>
                <w:rtl w:val="0"/>
              </w:rPr>
              <w:t xml:space="preserve"> – zpracovává výpisky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– </w:t>
            </w:r>
            <w:r w:rsidDel="00000000" w:rsidR="00000000" w:rsidRPr="00000000">
              <w:rPr>
                <w:color w:val="000000"/>
                <w:rtl w:val="0"/>
              </w:rPr>
              <w:t xml:space="preserve">připravuje si promluvu pro určité publikum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království dvojího lidu, křížová výprava, mírový svaz evrop. států, stavovská monarchie, Kutnohorský smír, Svatováclavská smlouva, 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jagellonská gotika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referuje o středověkém soupeření Anglie a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Francie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Evropa v pozdním středověku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Stoletá válka – soupeření 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color w:val="000000"/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připraví si monologický projev pro své spolužáky (referát)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color w:val="000000"/>
                <w:rtl w:val="0"/>
              </w:rPr>
              <w:t xml:space="preserve"> – objevuje souvislosti a zákonitosti ve vývoji civilizace</w:t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kořeny a zdroje evropské civilizace, Evropa ve svém vývoji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Magna charta, národní hrdinka, černá smrt, Mauři, reconquista, jednotný španělský stát, Mehmed II., osmanští Turci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sestaví přehled nejvýznamnějších změn a objevů raného novověku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Raný novověk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hospodářské a společenské změny v Evropě v 15. a 16. století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a zpracovává informace, vybírá klíčová slova, interpretuje text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své poznatky vyloží spolužákům</w:t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vynálezy – vodní kolo, knihtisk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manufaktura, pluh, střídavé hospodářství, banky, nájemný dělník, podnikatel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popíše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průběh zámořských objevů, jejich příčiny a důsledky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Objevné cesty a jejich důsledky pro Evropu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color w:val="000000"/>
                <w:rtl w:val="0"/>
              </w:rPr>
              <w:t xml:space="preserve"> – využívá moderní techniku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 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 </w:t>
            </w:r>
            <w:r w:rsidDel="00000000" w:rsidR="00000000" w:rsidRPr="00000000">
              <w:rPr>
                <w:color w:val="000000"/>
                <w:rtl w:val="0"/>
              </w:rPr>
              <w:t xml:space="preserve">– kulturní diference, etnic. původ, rovnocennost všech etnických skupin a kultur</w:t>
            </w:r>
          </w:p>
        </w:tc>
      </w:tr>
    </w:tbl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color w:val="000000"/>
          <w:rtl w:val="0"/>
        </w:rPr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281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44"/>
        <w:gridCol w:w="2400"/>
        <w:gridCol w:w="2976"/>
        <w:gridCol w:w="3261"/>
        <w:tblGridChange w:id="0">
          <w:tblGrid>
            <w:gridCol w:w="6644"/>
            <w:gridCol w:w="240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vyhodnocuje objevy minulosti, zdokumentovává; vytváří si kladný vztah k historii; připravuje referát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color w:val="000000"/>
                <w:rtl w:val="0"/>
              </w:rPr>
              <w:t xml:space="preserve"> – sděluje své poznatky, diskutuje, přesvědčuje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Upravuje obsah, který vytvořil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někdo jiný, s cílem přizpůsobit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ho novým účelům.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klíčové mezníky evropské 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historie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Bartolomeo Diaz, Vasco da Gama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Kryštof Kolumbus, Amerigo Vespucci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Fernando Magalhães, Nový svět, karavela, Indiáni, cenová revoluce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006</w:t>
            </w:r>
          </w:p>
        </w:tc>
      </w:tr>
      <w:tr>
        <w:trPr>
          <w:cantSplit w:val="0"/>
          <w:trHeight w:val="2385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dobytí amerických říší Evropany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Mimoevropské civilizace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Americké civilizace a jejich zničení Španěly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Dobytí indiánských území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color w:val="000000"/>
                <w:rtl w:val="0"/>
              </w:rPr>
              <w:t xml:space="preserve"> – netoleruje projevy rasizmu a xenofobie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color w:val="000000"/>
                <w:rtl w:val="0"/>
              </w:rPr>
              <w:t xml:space="preserve"> – objevuje a pojmenuje problém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historické mapy a různé zdroje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kompetence digitální: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ovládá běžně používaná digitální zařízení, aplikace, služby a využívá je při učení</w:t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respektování zvláštností různých etnik, rovnocennost všech etnických skupin a kultur, tolerance,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snášenlivost, vzájemné obohacování různých kultur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Aztékové, Inkové, Mayové, kolonie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024</w:t>
            </w:r>
          </w:p>
        </w:tc>
      </w:tr>
      <w:tr>
        <w:trPr>
          <w:cantSplit w:val="0"/>
          <w:trHeight w:val="2295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uvede základní rysy renesančního stavitelstv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Italská renesance a humanismus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color w:val="000000"/>
                <w:rtl w:val="0"/>
              </w:rPr>
              <w:t xml:space="preserve">– různými metodami poznává výtvory minulosti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vyjadřuje svůj názor, argumentuje, publikuje své poznatky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color w:val="000000"/>
                <w:rtl w:val="0"/>
              </w:rPr>
              <w:t xml:space="preserve">– rozvíjí svůj zájem o veřejné záležitosti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zapojení do života společnosti</w:t>
            </w:r>
          </w:p>
        </w:tc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 </w:t>
            </w:r>
            <w:r w:rsidDel="00000000" w:rsidR="00000000" w:rsidRPr="00000000">
              <w:rPr>
                <w:color w:val="000000"/>
                <w:rtl w:val="0"/>
              </w:rPr>
              <w:t xml:space="preserve">– poznávání vlastního kulturního zakotvení</w:t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kořeny a zdroje evropské civilizace, Evropa ve svém vývoji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humanismus, sgrafita, arkády, Florencie, Vatikán, Leonardo da Vinci, Michelangelo, renesanční věda, 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perspektiva, anatomie, astronomie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007, 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nastíní základní myšlenky náboženských reformátorů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objasní pojem protireformace</w:t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Reformace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Protireformace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Důsledky reformace a protireformace</w:t>
            </w:r>
          </w:p>
        </w:tc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společně hledá optimální řešení problémů, podporuje dobré vztahy při kooperaci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stanoví problém, vyhledá odpověď na problémové otázky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výsledky své práce vyloží ostatním</w:t>
            </w:r>
          </w:p>
        </w:tc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kořeny a zdroje evropské civilizace, Evropa ve svém vývoji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evangelická církev, luteránství, kalvinismus, hugenoti, anglikánská církev, jezuité – Tovaryšstvo Ježíšovo, tridentský koncil, celibát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objasní postavení Španělska za Karla V. a Filipa II.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a zhodnotí dobu Alžběty I.</w:t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Španělsko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 Karla V. a Filipa II.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Anglie </w:t>
            </w:r>
            <w:r w:rsidDel="00000000" w:rsidR="00000000" w:rsidRPr="00000000">
              <w:rPr>
                <w:color w:val="000000"/>
                <w:rtl w:val="0"/>
              </w:rPr>
              <w:t xml:space="preserve">– počátky absolutistické monarchie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Alžbětinská epocha</w:t>
            </w:r>
          </w:p>
        </w:tc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vhodné prameny, provádí různé pracovní činnosti, využívá moderní postupy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interpretuje odborný text, vyhledává klíčová </w:t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Evropa ve svém vývoji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španělská a rakouská větev Habsburků, Escorial, Spojené provincie nizozemské, gézové,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absolutistická monarchie, Tudorovci, ohrazování, Shakespeare, korzáři, doba alžbětinská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008, 023</w:t>
            </w:r>
          </w:p>
        </w:tc>
      </w:tr>
    </w:tbl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color w:val="000000"/>
          <w:rtl w:val="0"/>
        </w:rPr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slova, zpracovává informace; připravuje výpisky a referáty</w:t>
            </w:r>
          </w:p>
        </w:tc>
        <w:tc>
          <w:tcPr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Evropa ve svém vývoji</w:t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habsburskou monarchii po roce 1526 </w:t>
            </w:r>
          </w:p>
          <w:p w:rsidR="00000000" w:rsidDel="00000000" w:rsidP="00000000" w:rsidRDefault="00000000" w:rsidRPr="00000000" w14:paraId="0000013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rudolfínskou epochu</w:t>
            </w:r>
          </w:p>
        </w:tc>
        <w:tc>
          <w:tcPr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České země po nástupu Habsburků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hledá odpovědi na problémové otázky 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pracuje s různými prameny a materiály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výsledky své práce představí ostatním, vysvětluje, zdůvodňuje</w:t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mnohonárodnostní monarchie, stavy, zemské sněmy, stavovský odboj, Jednota bratrská, rekatolizace, Česká konfese, alchymie, astronomie,  Majestát,  Tycho de Brahe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shrne průběh boje českých stavů s Habsburky</w:t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vyhledá hlavní fakta o životě a díle J. A. Komenského</w:t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České stavovské povstání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Jan Amos Komenský</w:t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Obnovené zřízení zemské</w:t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hledá souvislosti a zákonitosti společenského vývoje, poznatky zobecňuje a aplikuje</w:t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color w:val="000000"/>
                <w:rtl w:val="0"/>
              </w:rPr>
              <w:t xml:space="preserve">– využívá znalostí historie pro současný život</w:t>
            </w:r>
          </w:p>
        </w:tc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Defenestrace, české stavovské povstání, zimní král, konfiskace, </w:t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pobělohorská emigrace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Obnovené zřízení zemské, J. A. Komenský, pedagogika, didaktika</w:t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001</w:t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objasní příčiny a důsledky třicetileté války, posoudí její důsledky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Třicetiletá válka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průběh a důsledky</w:t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vhodné prameny a dějepisné mapy, provádí různé pracovní činnosti, připravuje výpisky a referáty</w:t>
            </w:r>
          </w:p>
        </w:tc>
        <w:tc>
          <w:tcPr/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klíčové mezníky evropské historie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Unie a Liga, ustav Adolf, vestfálský mír, Albrecht z Valdštejna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zakotvení, kořeny a zdroje evropské civilizace</w:t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017, 030, 025, 018</w:t>
            </w:r>
          </w:p>
        </w:tc>
      </w:tr>
    </w:tbl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284" w:hanging="284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 w:val="1"/>
    </w:pPr>
    <w:rPr>
      <w:b w:val="1"/>
      <w:bCs w:val="1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Lrkj4UljH30ugAGZhPDY9tUMQ==">CgMxLjAyCWguMzBqMHpsbDIIaC5namRneHM4AHIhMTk1eEpDNHNLUXpWNGN0Skl4bGpUeE41YnNyZ0ZsU24t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2022-08-30T06:11:00Z</dcterms:created>
  <dc:creator>Tomáš Trégl</dc:creator>
</cp:coreProperties>
</file>